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7BBD" w:rsidRPr="00BE7BBD" w:rsidRDefault="00BE7BBD" w:rsidP="00BE7BBD">
      <w:pPr>
        <w:pStyle w:val="Pa17"/>
        <w:spacing w:after="440"/>
        <w:rPr>
          <w:rFonts w:cs="HelveticaNeueLT Pro 55 Roman"/>
          <w:color w:val="0E385C"/>
          <w:sz w:val="38"/>
          <w:szCs w:val="38"/>
          <w:u w:val="single"/>
        </w:rPr>
      </w:pPr>
      <w:r w:rsidRPr="00BE7BBD">
        <w:rPr>
          <w:rFonts w:cs="HelveticaNeueLT Pro 55 Roman"/>
          <w:b/>
          <w:bCs/>
          <w:color w:val="0E385C"/>
          <w:sz w:val="38"/>
          <w:szCs w:val="38"/>
          <w:u w:val="single"/>
        </w:rPr>
        <w:t>How we promote and encourage ‘Playing and E</w:t>
      </w:r>
      <w:r w:rsidRPr="00BE7BBD">
        <w:rPr>
          <w:rFonts w:cs="HelveticaNeueLT Pro 55 Roman"/>
          <w:b/>
          <w:bCs/>
          <w:color w:val="0E385C"/>
          <w:sz w:val="38"/>
          <w:szCs w:val="38"/>
          <w:u w:val="single"/>
        </w:rPr>
        <w:t>xploring</w:t>
      </w:r>
      <w:r w:rsidRPr="00BE7BBD">
        <w:rPr>
          <w:rFonts w:cs="HelveticaNeueLT Pro 55 Roman"/>
          <w:b/>
          <w:bCs/>
          <w:color w:val="0E385C"/>
          <w:sz w:val="38"/>
          <w:szCs w:val="38"/>
          <w:u w:val="single"/>
        </w:rPr>
        <w:t>’</w:t>
      </w:r>
      <w:r w:rsidRPr="00BE7BBD">
        <w:rPr>
          <w:rFonts w:cs="HelveticaNeueLT Pro 55 Roman"/>
          <w:b/>
          <w:bCs/>
          <w:color w:val="0E385C"/>
          <w:sz w:val="38"/>
          <w:szCs w:val="38"/>
          <w:u w:val="single"/>
        </w:rPr>
        <w:t xml:space="preserve"> </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7077"/>
        <w:gridCol w:w="7077"/>
      </w:tblGrid>
      <w:tr w:rsidR="00BE7BBD">
        <w:tblPrEx>
          <w:tblCellMar>
            <w:top w:w="0" w:type="dxa"/>
            <w:bottom w:w="0" w:type="dxa"/>
          </w:tblCellMar>
        </w:tblPrEx>
        <w:trPr>
          <w:trHeight w:val="143"/>
        </w:trPr>
        <w:tc>
          <w:tcPr>
            <w:tcW w:w="7077" w:type="dxa"/>
          </w:tcPr>
          <w:p w:rsidR="00BE7BBD" w:rsidRDefault="00BE7BBD">
            <w:pPr>
              <w:pStyle w:val="Pa9"/>
              <w:spacing w:after="220"/>
              <w:rPr>
                <w:rFonts w:cs="HelveticaNeueLT Pro 55 Roman"/>
                <w:color w:val="0E385C"/>
                <w:sz w:val="23"/>
                <w:szCs w:val="23"/>
              </w:rPr>
            </w:pPr>
            <w:r>
              <w:rPr>
                <w:rFonts w:cs="HelveticaNeueLT Pro 55 Roman"/>
                <w:b/>
                <w:bCs/>
                <w:color w:val="0E385C"/>
                <w:sz w:val="23"/>
                <w:szCs w:val="23"/>
              </w:rPr>
              <w:t xml:space="preserve">Children will be learning to: </w:t>
            </w:r>
          </w:p>
        </w:tc>
        <w:tc>
          <w:tcPr>
            <w:tcW w:w="7077" w:type="dxa"/>
          </w:tcPr>
          <w:p w:rsidR="00BE7BBD" w:rsidRDefault="00BE7BBD">
            <w:pPr>
              <w:pStyle w:val="Pa9"/>
              <w:spacing w:after="220"/>
              <w:rPr>
                <w:rFonts w:cs="HelveticaNeueLT Pro 55 Roman"/>
                <w:color w:val="0E385C"/>
                <w:sz w:val="23"/>
                <w:szCs w:val="23"/>
              </w:rPr>
            </w:pPr>
            <w:r>
              <w:rPr>
                <w:rFonts w:cs="HelveticaNeueLT Pro 55 Roman"/>
                <w:b/>
                <w:bCs/>
                <w:color w:val="0E385C"/>
                <w:sz w:val="23"/>
                <w:szCs w:val="23"/>
              </w:rPr>
              <w:t xml:space="preserve">Examples of how to support this: </w:t>
            </w:r>
          </w:p>
        </w:tc>
      </w:tr>
      <w:tr w:rsidR="00BE7BBD">
        <w:tblPrEx>
          <w:tblCellMar>
            <w:top w:w="0" w:type="dxa"/>
            <w:bottom w:w="0" w:type="dxa"/>
          </w:tblCellMar>
        </w:tblPrEx>
        <w:trPr>
          <w:trHeight w:val="685"/>
        </w:trPr>
        <w:tc>
          <w:tcPr>
            <w:tcW w:w="7077" w:type="dxa"/>
          </w:tcPr>
          <w:p w:rsidR="00BE7BBD" w:rsidRDefault="00BE7BBD">
            <w:pPr>
              <w:pStyle w:val="Pa9"/>
              <w:spacing w:after="220"/>
              <w:rPr>
                <w:rFonts w:cs="HelveticaNeueLT Pro 55 Roman"/>
                <w:color w:val="000000"/>
                <w:sz w:val="23"/>
                <w:szCs w:val="23"/>
              </w:rPr>
            </w:pPr>
            <w:r>
              <w:rPr>
                <w:rFonts w:cs="HelveticaNeueLT Pro 55 Roman"/>
                <w:color w:val="000000"/>
                <w:sz w:val="23"/>
                <w:szCs w:val="23"/>
              </w:rPr>
              <w:t xml:space="preserve">Realise that their actions have an effect on the world, so they want to keep repeating them. </w:t>
            </w:r>
            <w:bookmarkStart w:id="0" w:name="_GoBack"/>
            <w:bookmarkEnd w:id="0"/>
          </w:p>
        </w:tc>
        <w:tc>
          <w:tcPr>
            <w:tcW w:w="7077" w:type="dxa"/>
          </w:tcPr>
          <w:p w:rsidR="00BE7BBD" w:rsidRDefault="00BE7BBD">
            <w:pPr>
              <w:pStyle w:val="Pa9"/>
              <w:spacing w:after="220"/>
              <w:rPr>
                <w:rFonts w:cs="HelveticaNeueLT Pro 55 Roman"/>
                <w:color w:val="000000"/>
                <w:sz w:val="23"/>
                <w:szCs w:val="23"/>
              </w:rPr>
            </w:pPr>
            <w:r>
              <w:rPr>
                <w:rFonts w:cs="HelveticaNeueLT Pro 55 Roman"/>
                <w:color w:val="000000"/>
                <w:sz w:val="23"/>
                <w:szCs w:val="23"/>
              </w:rPr>
              <w:t xml:space="preserve">Encourage babies’ exploration of the world around them. Suggestions: investigating the feel of their key person’s hair or reaching for a blanket in their cot. </w:t>
            </w:r>
          </w:p>
          <w:p w:rsidR="00BE7BBD" w:rsidRDefault="00BE7BBD">
            <w:pPr>
              <w:pStyle w:val="Pa9"/>
              <w:spacing w:after="220"/>
              <w:rPr>
                <w:rFonts w:cs="HelveticaNeueLT Pro 55 Roman"/>
                <w:color w:val="000000"/>
                <w:sz w:val="23"/>
                <w:szCs w:val="23"/>
              </w:rPr>
            </w:pPr>
            <w:r>
              <w:rPr>
                <w:rFonts w:cs="HelveticaNeueLT Pro 55 Roman"/>
                <w:color w:val="000000"/>
                <w:sz w:val="23"/>
                <w:szCs w:val="23"/>
              </w:rPr>
              <w:t xml:space="preserve">Offer open-ended resources like large smooth shells and pebbles, blocks and lengths of fabric for babies and toddlers to play freely with, outdoors and inside. </w:t>
            </w:r>
          </w:p>
        </w:tc>
      </w:tr>
      <w:tr w:rsidR="00BE7BBD">
        <w:tblPrEx>
          <w:tblCellMar>
            <w:top w:w="0" w:type="dxa"/>
            <w:bottom w:w="0" w:type="dxa"/>
          </w:tblCellMar>
        </w:tblPrEx>
        <w:trPr>
          <w:trHeight w:val="427"/>
        </w:trPr>
        <w:tc>
          <w:tcPr>
            <w:tcW w:w="7077" w:type="dxa"/>
          </w:tcPr>
          <w:p w:rsidR="00BE7BBD" w:rsidRDefault="00BE7BBD">
            <w:pPr>
              <w:pStyle w:val="Pa9"/>
              <w:spacing w:after="220"/>
              <w:rPr>
                <w:rFonts w:cs="HelveticaNeueLT Pro 55 Roman"/>
                <w:color w:val="000000"/>
                <w:sz w:val="23"/>
                <w:szCs w:val="23"/>
              </w:rPr>
            </w:pPr>
            <w:r>
              <w:rPr>
                <w:rFonts w:cs="HelveticaNeueLT Pro 55 Roman"/>
                <w:color w:val="000000"/>
                <w:sz w:val="23"/>
                <w:szCs w:val="23"/>
              </w:rPr>
              <w:t xml:space="preserve">Plan and think ahead about how they will explore or play with objects. </w:t>
            </w:r>
          </w:p>
        </w:tc>
        <w:tc>
          <w:tcPr>
            <w:tcW w:w="7077" w:type="dxa"/>
          </w:tcPr>
          <w:p w:rsidR="00BE7BBD" w:rsidRDefault="00BE7BBD">
            <w:pPr>
              <w:pStyle w:val="Pa9"/>
              <w:spacing w:after="220"/>
              <w:rPr>
                <w:rFonts w:cs="HelveticaNeueLT Pro 55 Roman"/>
                <w:color w:val="000000"/>
                <w:sz w:val="23"/>
                <w:szCs w:val="23"/>
              </w:rPr>
            </w:pPr>
            <w:r>
              <w:rPr>
                <w:rFonts w:cs="HelveticaNeueLT Pro 55 Roman"/>
                <w:color w:val="000000"/>
                <w:sz w:val="23"/>
                <w:szCs w:val="23"/>
              </w:rPr>
              <w:t xml:space="preserve">When playing with blocks: encourage children to discuss what they will make before and while making it, or draw a picture before building. </w:t>
            </w:r>
          </w:p>
        </w:tc>
      </w:tr>
      <w:tr w:rsidR="00BE7BBD">
        <w:tblPrEx>
          <w:tblCellMar>
            <w:top w:w="0" w:type="dxa"/>
            <w:bottom w:w="0" w:type="dxa"/>
          </w:tblCellMar>
        </w:tblPrEx>
        <w:trPr>
          <w:trHeight w:val="1374"/>
        </w:trPr>
        <w:tc>
          <w:tcPr>
            <w:tcW w:w="7077" w:type="dxa"/>
          </w:tcPr>
          <w:p w:rsidR="00BE7BBD" w:rsidRDefault="00BE7BBD">
            <w:pPr>
              <w:pStyle w:val="Pa9"/>
              <w:spacing w:after="220"/>
              <w:rPr>
                <w:rFonts w:cs="HelveticaNeueLT Pro 55 Roman"/>
                <w:color w:val="000000"/>
                <w:sz w:val="23"/>
                <w:szCs w:val="23"/>
              </w:rPr>
            </w:pPr>
            <w:r>
              <w:rPr>
                <w:rFonts w:cs="HelveticaNeueLT Pro 55 Roman"/>
                <w:color w:val="000000"/>
                <w:sz w:val="23"/>
                <w:szCs w:val="23"/>
              </w:rPr>
              <w:t xml:space="preserve">Guide their own thinking and actions by referring to visual aids or by talking to themselves while playing. For example, a child doing a jigsaw might whisper under their breath: “Where does that one go? – I need to find the big horse next.” </w:t>
            </w:r>
          </w:p>
        </w:tc>
        <w:tc>
          <w:tcPr>
            <w:tcW w:w="7077" w:type="dxa"/>
          </w:tcPr>
          <w:p w:rsidR="00BE7BBD" w:rsidRDefault="00BE7BBD">
            <w:pPr>
              <w:pStyle w:val="Pa9"/>
              <w:spacing w:after="220"/>
              <w:rPr>
                <w:rFonts w:cs="HelveticaNeueLT Pro 55 Roman"/>
                <w:color w:val="000000"/>
                <w:sz w:val="23"/>
                <w:szCs w:val="23"/>
              </w:rPr>
            </w:pPr>
            <w:r>
              <w:rPr>
                <w:rFonts w:cs="HelveticaNeueLT Pro 55 Roman"/>
                <w:color w:val="000000"/>
                <w:sz w:val="23"/>
                <w:szCs w:val="23"/>
              </w:rPr>
              <w:t xml:space="preserve">Visual aids can help children to keep track of what they need to do next, for example counting on their fingers or referring to a series of pictures on the wall to remind them what they must do before lunch. </w:t>
            </w:r>
          </w:p>
          <w:p w:rsidR="00BE7BBD" w:rsidRDefault="00BE7BBD">
            <w:pPr>
              <w:pStyle w:val="Pa9"/>
              <w:spacing w:after="220"/>
              <w:rPr>
                <w:rFonts w:cs="HelveticaNeueLT Pro 55 Roman"/>
                <w:color w:val="000000"/>
                <w:sz w:val="23"/>
                <w:szCs w:val="23"/>
              </w:rPr>
            </w:pPr>
            <w:r>
              <w:rPr>
                <w:rFonts w:cs="HelveticaNeueLT Pro 55 Roman"/>
                <w:color w:val="000000"/>
                <w:sz w:val="23"/>
                <w:szCs w:val="23"/>
              </w:rPr>
              <w:t xml:space="preserve">Verbal mental aids include providing a sensitive commentary on what a child is doing. You might comment: “I see you are looking for the biggest pieces first’” or ask “how well do you think that’s going?” </w:t>
            </w:r>
          </w:p>
          <w:p w:rsidR="00BE7BBD" w:rsidRDefault="00BE7BBD">
            <w:pPr>
              <w:pStyle w:val="Pa9"/>
              <w:spacing w:after="220"/>
              <w:rPr>
                <w:rFonts w:cs="HelveticaNeueLT Pro 55 Roman"/>
                <w:color w:val="000000"/>
                <w:sz w:val="23"/>
                <w:szCs w:val="23"/>
              </w:rPr>
            </w:pPr>
            <w:r>
              <w:rPr>
                <w:rFonts w:cs="HelveticaNeueLT Pro 55 Roman"/>
                <w:color w:val="000000"/>
                <w:sz w:val="23"/>
                <w:szCs w:val="23"/>
              </w:rPr>
              <w:t xml:space="preserve">Children may copy your commentary by talking out loud to themselves first. In time, this will develop into their ‘inner voice’. </w:t>
            </w:r>
          </w:p>
        </w:tc>
      </w:tr>
      <w:tr w:rsidR="00BE7BBD" w:rsidTr="00BE7BBD">
        <w:tblPrEx>
          <w:tblCellMar>
            <w:top w:w="0" w:type="dxa"/>
            <w:bottom w:w="0" w:type="dxa"/>
          </w:tblCellMar>
        </w:tblPrEx>
        <w:trPr>
          <w:trHeight w:val="1374"/>
        </w:trPr>
        <w:tc>
          <w:tcPr>
            <w:tcW w:w="7077" w:type="dxa"/>
            <w:tcBorders>
              <w:left w:val="nil"/>
            </w:tcBorders>
          </w:tcPr>
          <w:p w:rsidR="00BE7BBD" w:rsidRDefault="00BE7BBD">
            <w:pPr>
              <w:pStyle w:val="Pa9"/>
              <w:spacing w:after="220"/>
              <w:rPr>
                <w:rFonts w:cs="HelveticaNeueLT Pro 55 Roman"/>
                <w:color w:val="000000"/>
                <w:sz w:val="23"/>
                <w:szCs w:val="23"/>
              </w:rPr>
            </w:pPr>
          </w:p>
          <w:p w:rsidR="00BE7BBD" w:rsidRDefault="00BE7BBD">
            <w:pPr>
              <w:pStyle w:val="Pa9"/>
              <w:spacing w:after="220"/>
              <w:rPr>
                <w:rFonts w:cs="HelveticaNeueLT Pro 55 Roman"/>
                <w:color w:val="000000"/>
                <w:sz w:val="23"/>
                <w:szCs w:val="23"/>
              </w:rPr>
            </w:pPr>
            <w:r>
              <w:rPr>
                <w:rFonts w:cs="HelveticaNeueLT Pro 55 Roman"/>
                <w:color w:val="000000"/>
                <w:sz w:val="23"/>
                <w:szCs w:val="23"/>
              </w:rPr>
              <w:t xml:space="preserve">Make independent choices. </w:t>
            </w:r>
          </w:p>
        </w:tc>
        <w:tc>
          <w:tcPr>
            <w:tcW w:w="7077" w:type="dxa"/>
            <w:tcBorders>
              <w:right w:val="nil"/>
            </w:tcBorders>
          </w:tcPr>
          <w:p w:rsidR="00BE7BBD" w:rsidRDefault="00BE7BBD">
            <w:pPr>
              <w:pStyle w:val="Pa9"/>
              <w:spacing w:after="220"/>
              <w:rPr>
                <w:rFonts w:cs="HelveticaNeueLT Pro 55 Roman"/>
                <w:color w:val="000000"/>
                <w:sz w:val="23"/>
                <w:szCs w:val="23"/>
              </w:rPr>
            </w:pPr>
          </w:p>
          <w:p w:rsidR="00BE7BBD" w:rsidRDefault="00BE7BBD">
            <w:pPr>
              <w:pStyle w:val="Pa9"/>
              <w:spacing w:after="220"/>
              <w:rPr>
                <w:rFonts w:cs="HelveticaNeueLT Pro 55 Roman"/>
                <w:color w:val="000000"/>
                <w:sz w:val="23"/>
                <w:szCs w:val="23"/>
              </w:rPr>
            </w:pPr>
            <w:r>
              <w:rPr>
                <w:rFonts w:cs="HelveticaNeueLT Pro 55 Roman"/>
                <w:color w:val="000000"/>
                <w:sz w:val="23"/>
                <w:szCs w:val="23"/>
              </w:rPr>
              <w:t xml:space="preserve">Provide a well-organised environment so that children know where materials and tools are and can access them easily. </w:t>
            </w:r>
          </w:p>
          <w:p w:rsidR="00BE7BBD" w:rsidRDefault="00BE7BBD">
            <w:pPr>
              <w:pStyle w:val="Pa9"/>
              <w:spacing w:after="220"/>
              <w:rPr>
                <w:rFonts w:cs="HelveticaNeueLT Pro 55 Roman"/>
                <w:color w:val="000000"/>
                <w:sz w:val="23"/>
                <w:szCs w:val="23"/>
              </w:rPr>
            </w:pPr>
            <w:r>
              <w:rPr>
                <w:rFonts w:cs="HelveticaNeueLT Pro 55 Roman"/>
                <w:color w:val="000000"/>
                <w:sz w:val="23"/>
                <w:szCs w:val="23"/>
              </w:rPr>
              <w:t xml:space="preserve">Provide enough materials and arrange spaces so that children can collaborate and learn alongside peers. Give children enough time and space to engage in large-scale projects that may continue over several days. </w:t>
            </w:r>
          </w:p>
          <w:p w:rsidR="00BE7BBD" w:rsidRDefault="00BE7BBD">
            <w:pPr>
              <w:pStyle w:val="Pa9"/>
              <w:spacing w:after="220"/>
              <w:rPr>
                <w:rFonts w:cs="HelveticaNeueLT Pro 55 Roman"/>
                <w:color w:val="000000"/>
                <w:sz w:val="23"/>
                <w:szCs w:val="23"/>
              </w:rPr>
            </w:pPr>
            <w:r>
              <w:rPr>
                <w:rFonts w:cs="HelveticaNeueLT Pro 55 Roman"/>
                <w:color w:val="000000"/>
                <w:sz w:val="23"/>
                <w:szCs w:val="23"/>
              </w:rPr>
              <w:lastRenderedPageBreak/>
              <w:t xml:space="preserve">Explore the reasons behind children’s choices e.g. ‘I’m interested that you’re using a paintbrush rather than a pencil to make your picture.’ </w:t>
            </w:r>
          </w:p>
        </w:tc>
      </w:tr>
      <w:tr w:rsidR="00BE7BBD" w:rsidTr="00BE7BBD">
        <w:tblPrEx>
          <w:tblCellMar>
            <w:top w:w="0" w:type="dxa"/>
            <w:bottom w:w="0" w:type="dxa"/>
          </w:tblCellMar>
        </w:tblPrEx>
        <w:trPr>
          <w:trHeight w:val="1374"/>
        </w:trPr>
        <w:tc>
          <w:tcPr>
            <w:tcW w:w="7077" w:type="dxa"/>
            <w:tcBorders>
              <w:left w:val="nil"/>
            </w:tcBorders>
          </w:tcPr>
          <w:p w:rsidR="00BE7BBD" w:rsidRDefault="00BE7BBD">
            <w:pPr>
              <w:pStyle w:val="Pa9"/>
              <w:spacing w:after="220"/>
              <w:rPr>
                <w:rFonts w:cs="HelveticaNeueLT Pro 55 Roman"/>
                <w:color w:val="000000"/>
                <w:sz w:val="23"/>
                <w:szCs w:val="23"/>
              </w:rPr>
            </w:pPr>
            <w:r>
              <w:rPr>
                <w:rFonts w:cs="HelveticaNeueLT Pro 55 Roman"/>
                <w:color w:val="000000"/>
                <w:sz w:val="23"/>
                <w:szCs w:val="23"/>
              </w:rPr>
              <w:lastRenderedPageBreak/>
              <w:t xml:space="preserve">Bring their own interests and fascinations into early years settings. This helps them to develop their learning. </w:t>
            </w:r>
          </w:p>
        </w:tc>
        <w:tc>
          <w:tcPr>
            <w:tcW w:w="7077" w:type="dxa"/>
            <w:tcBorders>
              <w:right w:val="nil"/>
            </w:tcBorders>
          </w:tcPr>
          <w:p w:rsidR="00BE7BBD" w:rsidRDefault="00BE7BBD">
            <w:pPr>
              <w:pStyle w:val="Pa9"/>
              <w:spacing w:after="220"/>
              <w:rPr>
                <w:rFonts w:cs="HelveticaNeueLT Pro 55 Roman"/>
                <w:color w:val="000000"/>
                <w:sz w:val="23"/>
                <w:szCs w:val="23"/>
              </w:rPr>
            </w:pPr>
            <w:r>
              <w:rPr>
                <w:rFonts w:cs="HelveticaNeueLT Pro 55 Roman"/>
                <w:color w:val="000000"/>
                <w:sz w:val="23"/>
                <w:szCs w:val="23"/>
              </w:rPr>
              <w:t xml:space="preserve">Extend children’s interests by providing stimulating resources for them to play with, on their own and with peers, in response to their fascinations. </w:t>
            </w:r>
          </w:p>
          <w:p w:rsidR="00BE7BBD" w:rsidRDefault="00BE7BBD">
            <w:pPr>
              <w:pStyle w:val="Pa9"/>
              <w:spacing w:after="220"/>
              <w:rPr>
                <w:rFonts w:cs="HelveticaNeueLT Pro 55 Roman"/>
                <w:color w:val="000000"/>
                <w:sz w:val="23"/>
                <w:szCs w:val="23"/>
              </w:rPr>
            </w:pPr>
            <w:r>
              <w:rPr>
                <w:rFonts w:cs="HelveticaNeueLT Pro 55 Roman"/>
                <w:color w:val="000000"/>
                <w:sz w:val="23"/>
                <w:szCs w:val="23"/>
              </w:rPr>
              <w:t xml:space="preserve">Join in with children’s play and investigations, without taking over. Talk with them about what they are doing and what they are noticing. </w:t>
            </w:r>
          </w:p>
          <w:p w:rsidR="00BE7BBD" w:rsidRDefault="00BE7BBD">
            <w:pPr>
              <w:pStyle w:val="Pa9"/>
              <w:spacing w:after="220"/>
              <w:rPr>
                <w:rFonts w:cs="HelveticaNeueLT Pro 55 Roman"/>
                <w:color w:val="000000"/>
                <w:sz w:val="23"/>
                <w:szCs w:val="23"/>
              </w:rPr>
            </w:pPr>
            <w:r>
              <w:rPr>
                <w:rFonts w:cs="HelveticaNeueLT Pro 55 Roman"/>
                <w:color w:val="000000"/>
                <w:sz w:val="23"/>
                <w:szCs w:val="23"/>
              </w:rPr>
              <w:t xml:space="preserve">Provide appropriate non-fiction books and links to information online to help them follow their interests. </w:t>
            </w:r>
          </w:p>
        </w:tc>
      </w:tr>
      <w:tr w:rsidR="00BE7BBD" w:rsidTr="00BE7BBD">
        <w:tblPrEx>
          <w:tblCellMar>
            <w:top w:w="0" w:type="dxa"/>
            <w:bottom w:w="0" w:type="dxa"/>
          </w:tblCellMar>
        </w:tblPrEx>
        <w:trPr>
          <w:trHeight w:val="1374"/>
        </w:trPr>
        <w:tc>
          <w:tcPr>
            <w:tcW w:w="7077" w:type="dxa"/>
            <w:tcBorders>
              <w:left w:val="nil"/>
              <w:bottom w:val="nil"/>
            </w:tcBorders>
          </w:tcPr>
          <w:p w:rsidR="00BE7BBD" w:rsidRDefault="00BE7BBD">
            <w:pPr>
              <w:pStyle w:val="Pa9"/>
              <w:spacing w:after="220"/>
              <w:rPr>
                <w:rFonts w:cs="HelveticaNeueLT Pro 55 Roman"/>
                <w:color w:val="000000"/>
                <w:sz w:val="23"/>
                <w:szCs w:val="23"/>
              </w:rPr>
            </w:pPr>
            <w:r>
              <w:rPr>
                <w:rFonts w:cs="HelveticaNeueLT Pro 55 Roman"/>
                <w:color w:val="000000"/>
                <w:sz w:val="23"/>
                <w:szCs w:val="23"/>
              </w:rPr>
              <w:t xml:space="preserve">Respond to new experiences that you bring to their attention. </w:t>
            </w:r>
          </w:p>
        </w:tc>
        <w:tc>
          <w:tcPr>
            <w:tcW w:w="7077" w:type="dxa"/>
            <w:tcBorders>
              <w:bottom w:val="nil"/>
              <w:right w:val="nil"/>
            </w:tcBorders>
          </w:tcPr>
          <w:p w:rsidR="00BE7BBD" w:rsidRDefault="00BE7BBD">
            <w:pPr>
              <w:pStyle w:val="Pa9"/>
              <w:spacing w:after="220"/>
              <w:rPr>
                <w:rFonts w:cs="HelveticaNeueLT Pro 55 Roman"/>
                <w:color w:val="000000"/>
                <w:sz w:val="23"/>
                <w:szCs w:val="23"/>
              </w:rPr>
            </w:pPr>
            <w:r>
              <w:rPr>
                <w:rFonts w:cs="HelveticaNeueLT Pro 55 Roman"/>
                <w:color w:val="000000"/>
                <w:sz w:val="23"/>
                <w:szCs w:val="23"/>
              </w:rPr>
              <w:t xml:space="preserve">Regularly provide new materials and interesting things for children to explore and investigate. </w:t>
            </w:r>
          </w:p>
          <w:p w:rsidR="00BE7BBD" w:rsidRDefault="00BE7BBD">
            <w:pPr>
              <w:pStyle w:val="Pa9"/>
              <w:spacing w:after="220"/>
              <w:rPr>
                <w:rFonts w:cs="HelveticaNeueLT Pro 55 Roman"/>
                <w:color w:val="000000"/>
                <w:sz w:val="23"/>
                <w:szCs w:val="23"/>
              </w:rPr>
            </w:pPr>
            <w:r>
              <w:rPr>
                <w:rFonts w:cs="HelveticaNeueLT Pro 55 Roman"/>
                <w:color w:val="000000"/>
                <w:sz w:val="23"/>
                <w:szCs w:val="23"/>
              </w:rPr>
              <w:t xml:space="preserve">Introduce children to different styles of music and art. Give them the opportunity to observe changes in living things in the setting, and around the local environment. Take children to new places, like a local theatre, a museum, a National Trust heritage site, a fire station, a farm or an elderly people’s home. </w:t>
            </w:r>
          </w:p>
          <w:p w:rsidR="00BE7BBD" w:rsidRDefault="00BE7BBD">
            <w:pPr>
              <w:pStyle w:val="Pa9"/>
              <w:spacing w:after="220"/>
              <w:rPr>
                <w:rFonts w:cs="HelveticaNeueLT Pro 55 Roman"/>
                <w:color w:val="000000"/>
                <w:sz w:val="23"/>
                <w:szCs w:val="23"/>
              </w:rPr>
            </w:pPr>
            <w:r>
              <w:rPr>
                <w:rFonts w:cs="HelveticaNeueLT Pro 55 Roman"/>
                <w:color w:val="000000"/>
                <w:sz w:val="23"/>
                <w:szCs w:val="23"/>
              </w:rPr>
              <w:t>Involve children in making decisions about science experiments: what might we feed the plants to make them grow? Why do you think fizzy water might work? How will we know if one is</w:t>
            </w:r>
            <w:r>
              <w:rPr>
                <w:rFonts w:cs="HelveticaNeueLT Pro 55 Roman"/>
                <w:color w:val="000000"/>
                <w:sz w:val="23"/>
                <w:szCs w:val="23"/>
              </w:rPr>
              <w:t xml:space="preserve"> growing faster than another?’</w:t>
            </w:r>
          </w:p>
        </w:tc>
      </w:tr>
    </w:tbl>
    <w:p w:rsidR="00C3291E" w:rsidRDefault="00C3291E">
      <w:pPr>
        <w:rPr>
          <w:rFonts w:ascii="Comic Sans MS" w:hAnsi="Comic Sans MS"/>
          <w:sz w:val="20"/>
          <w:szCs w:val="20"/>
        </w:rPr>
      </w:pPr>
    </w:p>
    <w:p w:rsidR="00BE7BBD" w:rsidRPr="00BE7BBD" w:rsidRDefault="00BE7BBD">
      <w:pPr>
        <w:rPr>
          <w:rFonts w:ascii="Comic Sans MS" w:hAnsi="Comic Sans MS"/>
          <w:sz w:val="20"/>
          <w:szCs w:val="20"/>
        </w:rPr>
      </w:pPr>
    </w:p>
    <w:sectPr w:rsidR="00BE7BBD" w:rsidRPr="00BE7BBD" w:rsidSect="00330350">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 Pro 55 Roman">
    <w:altName w:val="HelveticaNeueLT Pro 55 Roman"/>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08F"/>
    <w:rsid w:val="0026631C"/>
    <w:rsid w:val="00330350"/>
    <w:rsid w:val="00626747"/>
    <w:rsid w:val="006D1527"/>
    <w:rsid w:val="00737B41"/>
    <w:rsid w:val="0075578E"/>
    <w:rsid w:val="0077720A"/>
    <w:rsid w:val="008D3503"/>
    <w:rsid w:val="008E6815"/>
    <w:rsid w:val="00AD0165"/>
    <w:rsid w:val="00BE7BBD"/>
    <w:rsid w:val="00C3291E"/>
    <w:rsid w:val="00E03494"/>
    <w:rsid w:val="00F7208F"/>
    <w:rsid w:val="00FE1F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46F27"/>
  <w15:chartTrackingRefBased/>
  <w15:docId w15:val="{5E23A7D4-FA2F-4B52-9D54-E234EA3DF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57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578E"/>
    <w:rPr>
      <w:rFonts w:ascii="Segoe UI" w:hAnsi="Segoe UI" w:cs="Segoe UI"/>
      <w:sz w:val="18"/>
      <w:szCs w:val="18"/>
    </w:rPr>
  </w:style>
  <w:style w:type="paragraph" w:customStyle="1" w:styleId="xxmsonormal">
    <w:name w:val="x_x_msonormal"/>
    <w:basedOn w:val="Normal"/>
    <w:rsid w:val="00C3291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C3291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17">
    <w:name w:val="Pa17"/>
    <w:basedOn w:val="Normal"/>
    <w:next w:val="Normal"/>
    <w:uiPriority w:val="99"/>
    <w:rsid w:val="00BE7BBD"/>
    <w:pPr>
      <w:autoSpaceDE w:val="0"/>
      <w:autoSpaceDN w:val="0"/>
      <w:adjustRightInd w:val="0"/>
      <w:spacing w:after="0" w:line="381" w:lineRule="atLeast"/>
    </w:pPr>
    <w:rPr>
      <w:rFonts w:ascii="HelveticaNeueLT Pro 55 Roman" w:hAnsi="HelveticaNeueLT Pro 55 Roman"/>
      <w:sz w:val="24"/>
      <w:szCs w:val="24"/>
    </w:rPr>
  </w:style>
  <w:style w:type="paragraph" w:customStyle="1" w:styleId="Pa9">
    <w:name w:val="Pa9"/>
    <w:basedOn w:val="Normal"/>
    <w:next w:val="Normal"/>
    <w:uiPriority w:val="99"/>
    <w:rsid w:val="00BE7BBD"/>
    <w:pPr>
      <w:autoSpaceDE w:val="0"/>
      <w:autoSpaceDN w:val="0"/>
      <w:adjustRightInd w:val="0"/>
      <w:spacing w:after="0" w:line="241" w:lineRule="atLeast"/>
    </w:pPr>
    <w:rPr>
      <w:rFonts w:ascii="HelveticaNeueLT Pro 55 Roman" w:hAnsi="HelveticaNeueLT Pro 55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174906">
      <w:bodyDiv w:val="1"/>
      <w:marLeft w:val="0"/>
      <w:marRight w:val="0"/>
      <w:marTop w:val="0"/>
      <w:marBottom w:val="0"/>
      <w:divBdr>
        <w:top w:val="none" w:sz="0" w:space="0" w:color="auto"/>
        <w:left w:val="none" w:sz="0" w:space="0" w:color="auto"/>
        <w:bottom w:val="none" w:sz="0" w:space="0" w:color="auto"/>
        <w:right w:val="none" w:sz="0" w:space="0" w:color="auto"/>
      </w:divBdr>
    </w:div>
    <w:div w:id="1034693814">
      <w:bodyDiv w:val="1"/>
      <w:marLeft w:val="0"/>
      <w:marRight w:val="0"/>
      <w:marTop w:val="0"/>
      <w:marBottom w:val="0"/>
      <w:divBdr>
        <w:top w:val="none" w:sz="0" w:space="0" w:color="auto"/>
        <w:left w:val="none" w:sz="0" w:space="0" w:color="auto"/>
        <w:bottom w:val="none" w:sz="0" w:space="0" w:color="auto"/>
        <w:right w:val="none" w:sz="0" w:space="0" w:color="auto"/>
      </w:divBdr>
    </w:div>
    <w:div w:id="1663776840">
      <w:bodyDiv w:val="1"/>
      <w:marLeft w:val="0"/>
      <w:marRight w:val="0"/>
      <w:marTop w:val="0"/>
      <w:marBottom w:val="0"/>
      <w:divBdr>
        <w:top w:val="none" w:sz="0" w:space="0" w:color="auto"/>
        <w:left w:val="none" w:sz="0" w:space="0" w:color="auto"/>
        <w:bottom w:val="none" w:sz="0" w:space="0" w:color="auto"/>
        <w:right w:val="none" w:sz="0" w:space="0" w:color="auto"/>
      </w:divBdr>
      <w:divsChild>
        <w:div w:id="1256019212">
          <w:marLeft w:val="0"/>
          <w:marRight w:val="0"/>
          <w:marTop w:val="0"/>
          <w:marBottom w:val="0"/>
          <w:divBdr>
            <w:top w:val="none" w:sz="0" w:space="0" w:color="auto"/>
            <w:left w:val="none" w:sz="0" w:space="0" w:color="auto"/>
            <w:bottom w:val="none" w:sz="0" w:space="0" w:color="auto"/>
            <w:right w:val="none" w:sz="0" w:space="0" w:color="auto"/>
          </w:divBdr>
        </w:div>
        <w:div w:id="1132482481">
          <w:marLeft w:val="0"/>
          <w:marRight w:val="0"/>
          <w:marTop w:val="0"/>
          <w:marBottom w:val="0"/>
          <w:divBdr>
            <w:top w:val="none" w:sz="0" w:space="0" w:color="auto"/>
            <w:left w:val="none" w:sz="0" w:space="0" w:color="auto"/>
            <w:bottom w:val="none" w:sz="0" w:space="0" w:color="auto"/>
            <w:right w:val="none" w:sz="0" w:space="0" w:color="auto"/>
          </w:divBdr>
        </w:div>
        <w:div w:id="1378510336">
          <w:marLeft w:val="0"/>
          <w:marRight w:val="0"/>
          <w:marTop w:val="0"/>
          <w:marBottom w:val="0"/>
          <w:divBdr>
            <w:top w:val="none" w:sz="0" w:space="0" w:color="auto"/>
            <w:left w:val="none" w:sz="0" w:space="0" w:color="auto"/>
            <w:bottom w:val="none" w:sz="0" w:space="0" w:color="auto"/>
            <w:right w:val="none" w:sz="0" w:space="0" w:color="auto"/>
          </w:divBdr>
        </w:div>
        <w:div w:id="932976981">
          <w:marLeft w:val="0"/>
          <w:marRight w:val="0"/>
          <w:marTop w:val="0"/>
          <w:marBottom w:val="0"/>
          <w:divBdr>
            <w:top w:val="none" w:sz="0" w:space="0" w:color="auto"/>
            <w:left w:val="none" w:sz="0" w:space="0" w:color="auto"/>
            <w:bottom w:val="none" w:sz="0" w:space="0" w:color="auto"/>
            <w:right w:val="none" w:sz="0" w:space="0" w:color="auto"/>
          </w:divBdr>
        </w:div>
        <w:div w:id="1599829761">
          <w:marLeft w:val="0"/>
          <w:marRight w:val="0"/>
          <w:marTop w:val="0"/>
          <w:marBottom w:val="0"/>
          <w:divBdr>
            <w:top w:val="none" w:sz="0" w:space="0" w:color="auto"/>
            <w:left w:val="none" w:sz="0" w:space="0" w:color="auto"/>
            <w:bottom w:val="none" w:sz="0" w:space="0" w:color="auto"/>
            <w:right w:val="none" w:sz="0" w:space="0" w:color="auto"/>
          </w:divBdr>
        </w:div>
        <w:div w:id="34349929">
          <w:marLeft w:val="0"/>
          <w:marRight w:val="0"/>
          <w:marTop w:val="0"/>
          <w:marBottom w:val="0"/>
          <w:divBdr>
            <w:top w:val="none" w:sz="0" w:space="0" w:color="auto"/>
            <w:left w:val="none" w:sz="0" w:space="0" w:color="auto"/>
            <w:bottom w:val="none" w:sz="0" w:space="0" w:color="auto"/>
            <w:right w:val="none" w:sz="0" w:space="0" w:color="auto"/>
          </w:divBdr>
        </w:div>
        <w:div w:id="2071926043">
          <w:marLeft w:val="0"/>
          <w:marRight w:val="0"/>
          <w:marTop w:val="0"/>
          <w:marBottom w:val="0"/>
          <w:divBdr>
            <w:top w:val="none" w:sz="0" w:space="0" w:color="auto"/>
            <w:left w:val="none" w:sz="0" w:space="0" w:color="auto"/>
            <w:bottom w:val="none" w:sz="0" w:space="0" w:color="auto"/>
            <w:right w:val="none" w:sz="0" w:space="0" w:color="auto"/>
          </w:divBdr>
        </w:div>
        <w:div w:id="984621636">
          <w:marLeft w:val="0"/>
          <w:marRight w:val="0"/>
          <w:marTop w:val="0"/>
          <w:marBottom w:val="0"/>
          <w:divBdr>
            <w:top w:val="none" w:sz="0" w:space="0" w:color="auto"/>
            <w:left w:val="none" w:sz="0" w:space="0" w:color="auto"/>
            <w:bottom w:val="none" w:sz="0" w:space="0" w:color="auto"/>
            <w:right w:val="none" w:sz="0" w:space="0" w:color="auto"/>
          </w:divBdr>
        </w:div>
        <w:div w:id="769664775">
          <w:marLeft w:val="0"/>
          <w:marRight w:val="0"/>
          <w:marTop w:val="0"/>
          <w:marBottom w:val="0"/>
          <w:divBdr>
            <w:top w:val="none" w:sz="0" w:space="0" w:color="auto"/>
            <w:left w:val="none" w:sz="0" w:space="0" w:color="auto"/>
            <w:bottom w:val="none" w:sz="0" w:space="0" w:color="auto"/>
            <w:right w:val="none" w:sz="0" w:space="0" w:color="auto"/>
          </w:divBdr>
        </w:div>
        <w:div w:id="1390037100">
          <w:marLeft w:val="0"/>
          <w:marRight w:val="0"/>
          <w:marTop w:val="0"/>
          <w:marBottom w:val="0"/>
          <w:divBdr>
            <w:top w:val="none" w:sz="0" w:space="0" w:color="auto"/>
            <w:left w:val="none" w:sz="0" w:space="0" w:color="auto"/>
            <w:bottom w:val="none" w:sz="0" w:space="0" w:color="auto"/>
            <w:right w:val="none" w:sz="0" w:space="0" w:color="auto"/>
          </w:divBdr>
        </w:div>
        <w:div w:id="2026591422">
          <w:marLeft w:val="0"/>
          <w:marRight w:val="0"/>
          <w:marTop w:val="0"/>
          <w:marBottom w:val="0"/>
          <w:divBdr>
            <w:top w:val="none" w:sz="0" w:space="0" w:color="auto"/>
            <w:left w:val="none" w:sz="0" w:space="0" w:color="auto"/>
            <w:bottom w:val="none" w:sz="0" w:space="0" w:color="auto"/>
            <w:right w:val="none" w:sz="0" w:space="0" w:color="auto"/>
          </w:divBdr>
        </w:div>
        <w:div w:id="6790484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483</Words>
  <Characters>2758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NCC</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Humble, Anne</dc:creator>
  <cp:keywords/>
  <dc:description/>
  <cp:lastModifiedBy>Humble, Anne</cp:lastModifiedBy>
  <cp:revision>2</cp:revision>
  <cp:lastPrinted>2024-10-01T10:23:00Z</cp:lastPrinted>
  <dcterms:created xsi:type="dcterms:W3CDTF">2024-10-16T11:40:00Z</dcterms:created>
  <dcterms:modified xsi:type="dcterms:W3CDTF">2024-10-16T11:40:00Z</dcterms:modified>
</cp:coreProperties>
</file>